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деятельности в Забайкальском управлении Федеральной службы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17"/>
        <w:jc w:val="center"/>
        <w:spacing w:before="0" w:line="240" w:lineRule="auto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/>
      <w:bookmarkStart w:id="0" w:name="undefined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</w:p>
    <w:p>
      <w:pPr>
        <w:spacing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7"/>
        <w:jc w:val="center"/>
        <w:spacing w:before="0" w:line="240" w:lineRule="auto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Общие положения</w:t>
      </w:r>
      <w:bookmarkEnd w:id="0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</w:p>
    <w:p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от 31</w:t>
      </w:r>
      <w:r>
        <w:rPr>
          <w:rFonts w:ascii="Times New Roman" w:hAnsi="Times New Roman"/>
          <w:sz w:val="28"/>
          <w:szCs w:val="28"/>
          <w:lang w:bidi="ru-RU"/>
        </w:rPr>
        <w:t xml:space="preserve"> июля </w:t>
      </w:r>
      <w:r>
        <w:rPr>
          <w:rFonts w:ascii="Times New Roman" w:hAnsi="Times New Roman"/>
          <w:sz w:val="28"/>
          <w:szCs w:val="28"/>
          <w:lang w:bidi="ru-RU"/>
        </w:rPr>
        <w:t xml:space="preserve">2020</w:t>
      </w:r>
      <w:r>
        <w:rPr>
          <w:rFonts w:ascii="Times New Roman" w:hAnsi="Times New Roman"/>
          <w:sz w:val="28"/>
          <w:szCs w:val="28"/>
          <w:lang w:bidi="ru-RU"/>
        </w:rPr>
        <w:t xml:space="preserve"> г. </w:t>
      </w:r>
      <w:r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 xml:space="preserve">«О государственном контроле (надзоре) и муниципальном контроле», постановления Правительства Российской Федерации от 30</w:t>
      </w:r>
      <w:r>
        <w:rPr>
          <w:rFonts w:ascii="Times New Roman" w:hAnsi="Times New Roman"/>
          <w:sz w:val="28"/>
          <w:szCs w:val="28"/>
          <w:lang w:bidi="ru-RU"/>
        </w:rPr>
        <w:t xml:space="preserve"> июня </w:t>
      </w:r>
      <w:r>
        <w:rPr>
          <w:rFonts w:ascii="Times New Roman" w:hAnsi="Times New Roman"/>
          <w:sz w:val="28"/>
          <w:szCs w:val="28"/>
          <w:lang w:bidi="ru-RU"/>
        </w:rPr>
        <w:t xml:space="preserve">2021</w:t>
      </w:r>
      <w:r>
        <w:rPr>
          <w:rFonts w:ascii="Times New Roman" w:hAnsi="Times New Roman"/>
          <w:sz w:val="28"/>
          <w:szCs w:val="28"/>
          <w:lang w:bidi="ru-RU"/>
        </w:rPr>
        <w:t xml:space="preserve"> г.</w:t>
      </w:r>
      <w:r>
        <w:rPr>
          <w:rFonts w:ascii="Times New Roman" w:hAnsi="Times New Roman"/>
          <w:sz w:val="28"/>
          <w:szCs w:val="28"/>
          <w:lang w:bidi="ru-RU"/>
        </w:rPr>
        <w:t xml:space="preserve"> № 108</w:t>
      </w:r>
      <w:r>
        <w:rPr>
          <w:rFonts w:ascii="Times New Roman" w:hAnsi="Times New Roman"/>
          <w:sz w:val="28"/>
          <w:szCs w:val="28"/>
          <w:lang w:bidi="ru-RU"/>
        </w:rPr>
        <w:t xml:space="preserve">0</w:t>
      </w:r>
      <w:r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федеральном государственном надзоре в области безопасности гидротехнических сооружений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bidi="ru-RU"/>
        </w:rPr>
        <w:t xml:space="preserve"> в соответствии с приказом Федеральной службы по экологическому, технологическому и атомному надзору от</w:t>
      </w:r>
      <w:r>
        <w:rPr>
          <w:rFonts w:ascii="Times New Roman" w:hAnsi="Times New Roman"/>
          <w:sz w:val="28"/>
          <w:szCs w:val="28"/>
          <w:lang w:bidi="ru-RU"/>
        </w:rPr>
        <w:t xml:space="preserve"> 23</w:t>
      </w:r>
      <w:r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>
        <w:rPr>
          <w:rFonts w:ascii="Times New Roman" w:hAnsi="Times New Roman"/>
          <w:sz w:val="28"/>
          <w:szCs w:val="28"/>
          <w:lang w:bidi="ru-RU"/>
        </w:rPr>
        <w:t xml:space="preserve">202</w:t>
      </w:r>
      <w:r>
        <w:rPr>
          <w:rFonts w:ascii="Times New Roman" w:hAnsi="Times New Roman"/>
          <w:sz w:val="28"/>
          <w:szCs w:val="28"/>
          <w:lang w:bidi="ru-RU"/>
        </w:rPr>
        <w:t xml:space="preserve">3</w:t>
      </w:r>
      <w:r>
        <w:rPr>
          <w:rFonts w:ascii="Times New Roman" w:hAnsi="Times New Roman"/>
          <w:sz w:val="28"/>
          <w:szCs w:val="28"/>
          <w:lang w:bidi="ru-RU"/>
        </w:rPr>
        <w:t xml:space="preserve"> г.</w:t>
      </w:r>
      <w:r>
        <w:rPr>
          <w:rFonts w:ascii="Times New Roman" w:hAnsi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/>
          <w:sz w:val="28"/>
          <w:szCs w:val="28"/>
          <w:lang w:bidi="ru-RU"/>
        </w:rPr>
        <w:t xml:space="preserve"> 307</w:t>
      </w:r>
      <w:r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для решения следующих задач: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>
        <w:rPr>
          <w:rFonts w:ascii="Times New Roman" w:hAnsi="Times New Roman"/>
          <w:sz w:val="28"/>
          <w:szCs w:val="28"/>
          <w:lang w:bidi="ru-RU"/>
        </w:rPr>
        <w:t xml:space="preserve">законодательства Российской Федерации о государственном контроле (надзоре), муниципальном контроле;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подготовка предложений об актуализации обязательных требований;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83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Федеральный закон от 31 июля 2020 г. № 248-ФЗ «О государственном контроле (надзоре) и муниципальном контроле в Российской Федерации»;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83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Федеральный закон от 21 июля 1997 г. № 117-ФЗ «О безопасности гидротехнических сооружений»;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Положение о федеральном государственном надзоре в области безопасности гидротехнических сооружений, утверждённое постановлением Правительства Российской Федерации от 30 июня 2021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 №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1080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401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Положением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 исключением судоходных и портовых гидротехнических сооружений) (далее – ГТС).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поднадзорных Забайкальскому управлению Ростехнадзора ГТС (комплексов ГТС) составляет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из них: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ГТС (комплексов ГТС) промышленности;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ГТС (комплексов ГТС) энергетики;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ГТС (комплексов ГТС) водохозяйственного назначения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ГТС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Количество организаций, эксплуатирующих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гидротехнические сооружения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составило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 аварий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 поднадзорных объектах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зарегистрировано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 аварии (в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– 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__), 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 несчастных случаев со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смертельным исходом (в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– 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»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/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 2024 году зарегистрирован 1 аварийный случай на ГТС «Водохранилище на реке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Хонхолойка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Мухоршибирского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района». 03.08.2024 в результате интенсивных дождей за двое суток количество осадков составило 120 мм - 146 % от месячной нормы около 15:00-16:00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МСК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на объекте «ГТС водохранилище на реке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Хонхолойка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Мухоршибирского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района Республики Бурятия» произошел перелив ч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ерез гребень земляной плотины, в дальнейшем происходит неконтролируемый перелив воды через гребень плотины, с размыванием откоса нижнего бьефа и в дальнейшем ее размыв до отметок дна русла. Населённые пункты в зоне затопления при аварии на ГТС не попадают.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Авария, согласно расчету вероятного вреда, который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может быть причинён жизни, здоровью физических лиц, имуществу физических и юридических лиц в результате аварии, произошла по сценарию №1 - наиболее тяжёлый. Водовыпускные сооружения находятся в работоспособном состоянии и функционируют в проектных режимах.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При рассмотрении видеоматериалов во время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перелива видно, что гребень плотины без просадок, фильтрация отсутствует. Комиссией в ходе проведения проверки водовыпускного сооружения установлено его работоспособное состояние. Оперативное сообщение об аварии направлено в соответствующие органы в течени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24 часов. Согласно приказу №ПР-351-296-о от 05.08.2024г. была создана комиссия для расследования причин аварии. Причины 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варии: Согласно расчету определения объёмов поверхностных (дождевых) вод, в соответствии с СП 33-101-2003 «Определение основных расчетных гидрологических характеристик» от 26.12.2003 определен суммарный объём поступившего дождевого паводка и стока воды р.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Хонхолойка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который превышает проектные параметры водопропускной способности и наполнения (возможности) водохранилища комплекса ГТС.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Прорыв плотины произошел в месте ранее существующего русла реки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Хонхолойка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по которому был направлен напорный фронт (генплан проекта Водохранилища на р.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Хонхолойка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 целью улучшения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водообеспеченности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1060 га сельскохозяйственных угодий колхоза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«Искра»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Мухоршибирского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района Бурятской АССР 1970 года).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 целом по Республике Бурятия паводковая обстановка за этот период на реках нестабильная, в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Мухоршибирском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Тарбагатайском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Заиграевском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районах наблюдался подъём уровня воды в реках, подмыты участки федеральной трассы, мостов и подъезды к ним, подтоплены жилые дома и дворовые участки. Главой РБ введен режим ЧС регионального уровня.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Исходя из расчетов и рассматриваемых материалов причина аварии – это обстоятельства непреодолимой силы (природного характера - осадки), предотвратить перелив через сооружение не представлялось возможным.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Мероприятия по локализации и устранению причин аварии.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Так как причина аварии кроется в обстоятельствах непреодолимой силы (осадки) мероприятия по её локализации и устранению невозможны.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 настоящее время эксплуатирующей организацией и Министерством сельского хозяйства Российской Федерации рассматриваются варианты по восстановлению (после определения экономической эффективности), консервации или ликвидации объекта.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Последствия от аварии: В ходе осмотра было обнаружено: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Земляная плотина – целостность нарушена, проран протяженностью примерно 100 м., на оставшейся части откоса земляной плотины со стороны верхнего бьефа не выявлены нарушения целостности (трещины, намывы, раз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мывы отсутствуют). Со стороны нижнего бьефа правой стороны плотины от прорана наблюдается размыв откоса, в левой стороне плотины наблюдаются незначительная кустарниковая растительность, по гребню небольшие просадки (глубиной 2-3 см, диаметром по 50-60 см);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Паводковый водосброс - входная часть,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быстроточная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часть в нормальном состоянии;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гасительная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часть водосброса – разрушена (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дно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 стенки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габионной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сетчатой конструкции разрушены);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Донный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водовыпуск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– не засорен, плоский затвор в открытом состоянии, винт редуктора поднят более чем на 80 см, что указывает на его открытое положение во время аварии.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Далее ниже ГТС по течению реки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Хонхолойка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наблюдается затопление сельскохозяйственных угодий (сенокосы) и подмыв моста через р.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Хонхолойка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на федеральной трассе.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По представленной информации Федерального казенного учреждения «Управление федеральных автомобильных дорог «Южный Байкал» Федерального дорожного агентства (ФКУ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Упрдор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«Южный Байкал») от 27.08.2024 №2587/04 аварийно-восстановительные работы для обеспечения безопасности дорожного движения (устройство объездной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дороги в две полосы через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.Х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онхолойка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) составило 60 015,696 тыс. рублей. Общая сумма нанесенного ущерба составляет 592 015,696 тыс. руб. в ценах на 2024 г.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По представленной информации Администрации МО «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Мухоршибирский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район» от 30.08.2024 № 2247 ущерб дорожной инфраструктуре (лесной дороге) был причинён в размере 5 077 886,76 руб. Заявок по причиненному ущербу сенокосных угодий в Администрацию МО «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Мухоршибирский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район» не поступало.</w:t>
            </w:r>
            <w:permEnd w:displacedbyCustomXml="next" w:id=""/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</w:tc>
      </w:tr>
    </w:tbl>
    <w:p>
      <w:pPr>
        <w:ind w:firstLine="680"/>
        <w:jc w:val="both"/>
        <w:spacing w:after="0" w:line="276" w:lineRule="auto"/>
        <w:rPr>
          <w:rFonts w:ascii="Times New Roman" w:hAnsi="Times New Roman" w:eastAsia="Arial Unicode MS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sz w:val="28"/>
          <w:szCs w:val="28"/>
          <w:lang w:eastAsia="ru-RU"/>
        </w:rPr>
      </w:r>
      <w:r>
        <w:rPr>
          <w:rFonts w:ascii="Times New Roman" w:hAnsi="Times New Roman" w:eastAsia="Arial Unicode MS"/>
          <w:sz w:val="28"/>
          <w:szCs w:val="28"/>
          <w:lang w:eastAsia="ru-RU"/>
        </w:rPr>
      </w:r>
      <w:r>
        <w:rPr>
          <w:rFonts w:ascii="Times New Roman" w:hAnsi="Times New Roman" w:eastAsia="Arial Unicode MS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сновными факторами риска причинения вреда (ущерба)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являются: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Действия природного фактора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_________________________;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Забайкальским управлением Ростехнадзора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lang w:eastAsia="ru-RU"/>
        </w:rPr>
        <w:t xml:space="preserve">22</w:t>
      </w:r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деклараци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 безопасности ГТС;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 эксплуатации ГТС (комплексов ГТС);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формлено и выдано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разрешени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эксплуатацию ГТС;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формлено и выдано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выпис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 Российского регистра ГТС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перечень экспертных центров по рассмотрению деклараций безопасности ГТС включен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всего в перечень входит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(по состоянию на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4"/>
      </w:tblGrid>
      <w:tr>
        <w:tblPrEx/>
        <w:trPr/>
        <w:tc>
          <w:tcPr>
            <w:tcW w:w="9344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рамках осуществления контрольной (надзорной) деятельности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 учётом требований постановления Правительства Российской Федерации от 10 марта 2022 г. № 336 «Об особенностях организации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 осуществления государственного контроля (надзора), муниципального контроля» </w:t>
      </w:r>
      <w:r>
        <w:rPr>
          <w:rFonts w:ascii="Times New Roman" w:hAnsi="Times New Roman"/>
          <w:sz w:val="28"/>
          <w:szCs w:val="28"/>
          <w:lang w:eastAsia="ru-RU"/>
        </w:rPr>
        <w:t xml:space="preserve">Забайкальским управлением Ростехнадзора</w:t>
      </w:r>
      <w:r/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проведен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из них плановых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внеплановых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ind w:firstLine="680"/>
        <w:jc w:val="both"/>
        <w:spacing w:after="0" w:line="276" w:lineRule="auto"/>
        <w:rPr>
          <w:rFonts w:ascii="Times New Roman" w:hAnsi="Times New Roman" w:eastAsia="Arial Unicode MS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sz w:val="28"/>
          <w:szCs w:val="28"/>
          <w:lang w:eastAsia="ru-RU"/>
        </w:rPr>
      </w:r>
      <w:r>
        <w:rPr>
          <w:rFonts w:ascii="Times New Roman" w:hAnsi="Times New Roman" w:eastAsia="Arial Unicode MS"/>
          <w:sz w:val="28"/>
          <w:szCs w:val="28"/>
          <w:lang w:eastAsia="ru-RU"/>
        </w:rPr>
      </w:r>
      <w:r>
        <w:rPr>
          <w:rFonts w:ascii="Times New Roman" w:hAnsi="Times New Roman" w:eastAsia="Arial Unicode MS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83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в рамках мероприятий по контролю организации безопасной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эксплуатации и безопасного состояния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гидротехнических сооружений,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осуществление которых инициируется обращением заявителя, выступающего в качестве объекта контроля (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регулярные обследования ГТС),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в рамках проверок иных контролирующих органов с привлечением представителей территориальных управлений Ростехнадзора в 202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проведено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(в 202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83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рамках режима постоянного государственного надзора проведено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br/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действий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ходе проведения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выявлено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правонарушени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обязательных требований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По результатам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назначено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административн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наказани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раз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временный запрет деятельности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раз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наложен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административны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штраф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ов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тыс.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рублей.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досудебного обжалования решений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 них удовлетворено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»).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соблюдены.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тип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ичным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следует отнести: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бермы и кюветы каналов нерегулярно очищаются от грунта осыпей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выносов, допускается зарастание откосов и гребня грунтовых сооружений деревьями и кустарниками;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проводится комплексное обследование сооружений с оценкой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их прочности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надёжности, устойчивости и эксплуатационной надёжности;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ненадлежащее состояние дренажных систем, не проводится оценка фильтрационных расходов;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обеспечивается контроль (мониторинг) показателей состояния ГТС;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пьезометрах, реперах плотин гидротехнических сооружений отсутствуют комплектующие элементы;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нарушение целостности межплиточных швов;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коррозия металлических конструкций механического оборудования ГТС, разрушение антикоррозийной защиты, отсутствие эффективного контроля за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эффективностью </w:t>
      </w:r>
      <w:r>
        <w:rPr>
          <w:rFonts w:ascii="Times New Roman" w:hAnsi="Times New Roman"/>
          <w:sz w:val="28"/>
          <w:szCs w:val="28"/>
          <w:lang w:eastAsia="ru-RU"/>
        </w:rPr>
        <w:t xml:space="preserve">антикоррозийной защиты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4"/>
      </w:tblGrid>
      <w:tr>
        <w:tblPrEx/>
        <w:trPr/>
        <w:tc>
          <w:tcPr>
            <w:tcW w:w="9344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требований в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181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выявлено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эффективности программы профилактики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2023 год, утверждённой приказом Ростехнадзора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  <w:t xml:space="preserve">от 27 декабря 2022 г. № 469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 Ростехнадзор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постоянной основе реализовывались следующие мероприятия: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отношении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организации, эксплуатирующей ГТС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было объявлено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предостережени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недопустимости нарушений обязательных требований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 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/>
      <w:permStart w:displacedbyCustomXml="next" w:edGrp="everyone" w:id="undefined"/>
      <w:r>
        <w:rPr>
          <w:rFonts w:ascii="Times New Roman" w:hAnsi="Times New Roman"/>
          <w:sz w:val="28"/>
          <w:szCs w:val="28"/>
        </w:rPr>
        <w:t xml:space="preserve">осуществлялось </w:t>
      </w:r>
      <w:r>
        <w:rPr>
          <w:rFonts w:ascii="Times New Roman" w:hAnsi="Times New Roman"/>
          <w:sz w:val="28"/>
          <w:szCs w:val="28"/>
        </w:rPr>
        <w:t xml:space="preserve">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 в установленной сфере деятельности;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Ростехнадзора в с</w:t>
      </w:r>
      <w:r>
        <w:rPr>
          <w:rFonts w:ascii="Times New Roman" w:hAnsi="Times New Roman"/>
          <w:sz w:val="28"/>
          <w:szCs w:val="28"/>
        </w:rPr>
        <w:t xml:space="preserve">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</w:t>
      </w:r>
      <w:r>
        <w:rPr>
          <w:rFonts w:ascii="Times New Roman" w:hAnsi="Times New Roman"/>
          <w:sz w:val="28"/>
          <w:szCs w:val="28"/>
        </w:rPr>
        <w:t xml:space="preserve">области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по вопросам, касающимся соблюдения требований безопасности 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эксплуатации опасных объектов;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семинары, вебинары</w:t>
      </w:r>
      <w:bookmarkStart w:id="0" w:name="undefined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на внедрение и обеспечение соблюдения обязательных требований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гидротехнические сооружения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 целью проведения оценки добросовестности, предусматривающей оценку соответствия организации, эксплуатирующей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гидротехнические сооружения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критериям добросовестности, не поступало.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 «От юридических лиц и индивидуальных предпринимателей, эксплуатирующих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гидротехнические сооружения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 целью проведения оценки добросовестности, предусматривающей оценку соответствия организации, эксплуатирующей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гидротехнические сооружения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критериям добросовестности, поступило 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 заявлений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рассмотрения которых принято решение о 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/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несоответствии критериям добросовестности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/>
            <w:permStart w:displacedbyCustomXml="next" w:edGrp="everyone" w:id="undefined"/>
            <w:r/>
            <w:permEnd w:displacedbyCustomXml="next" w:id=""/>
            <w:r/>
            <w:permEnd w:displacedbyCustomXml="next" w:id=""/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или электронном виде, тематика которых касалась: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83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требований нормативных правовых актов;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83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оказания государственных услуг;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декларирования безопасности гидротехнического сооружения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6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>
        <w:rPr>
          <w:rFonts w:ascii="Times New Roman" w:hAnsi="Times New Roman"/>
          <w:sz w:val="28"/>
          <w:szCs w:val="28"/>
        </w:rPr>
        <w:t xml:space="preserve">в 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является: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ГТС,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отработавших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свой нормативный срок. В связи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отсутствием финансирования мероприятий по проведению капитального ремонта и (или) реконструкции ГТС, а также на консервацию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(или) ликвидацию ГТС сооружения утрачивают свою 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ё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7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по соблюдению требований </w:t>
      </w:r>
      <w:r>
        <w:rPr>
          <w:rFonts w:ascii="Times New Roman" w:hAnsi="Times New Roman"/>
          <w:sz w:val="28"/>
          <w:szCs w:val="28"/>
        </w:rPr>
        <w:t xml:space="preserve">в 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/>
          <w:sz w:val="28"/>
          <w:szCs w:val="28"/>
        </w:rPr>
        <w:t xml:space="preserve">в области безопасности гидротехнических сооружений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7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_634"/>
        <w:ind w:firstLine="709"/>
        <w:spacing w:line="276" w:lineRule="auto"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table" w:styleId="1_636" w:customStyle="1">
    <w:name w:val="Сетка таблицы1"/>
    <w:basedOn w:val="681"/>
    <w:next w:val="695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7" w:customStyle="1">
    <w:name w:val="Сетка таблицы2"/>
    <w:basedOn w:val="681"/>
    <w:next w:val="695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634" w:customStyle="1">
    <w:name w:val="Основной текст (2)"/>
    <w:basedOn w:val="678"/>
    <w:link w:val="685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KKrushelnickaya</cp:lastModifiedBy>
  <cp:revision>1</cp:revision>
  <dcterms:modified xsi:type="dcterms:W3CDTF">2025-03-13T02:25:51Z</dcterms:modified>
</cp:coreProperties>
</file>